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pPr w:leftFromText="180" w:rightFromText="180" w:horzAnchor="margin" w:tblpY="780"/>
        <w:tblW w:w="0" w:type="auto"/>
        <w:tblLook w:val="04A0" w:firstRow="1" w:lastRow="0" w:firstColumn="1" w:lastColumn="0" w:noHBand="0" w:noVBand="1"/>
      </w:tblPr>
      <w:tblGrid>
        <w:gridCol w:w="1508"/>
        <w:gridCol w:w="1956"/>
        <w:gridCol w:w="1267"/>
        <w:gridCol w:w="1094"/>
        <w:gridCol w:w="2074"/>
        <w:gridCol w:w="6320"/>
      </w:tblGrid>
      <w:tr w:rsidR="0078336C" w:rsidRPr="0078336C" w:rsidTr="0015660D">
        <w:tc>
          <w:tcPr>
            <w:tcW w:w="1508" w:type="dxa"/>
            <w:vAlign w:val="center"/>
          </w:tcPr>
          <w:p w:rsidR="0078336C" w:rsidRPr="0078336C" w:rsidRDefault="0078336C" w:rsidP="0015660D">
            <w:pPr>
              <w:jc w:val="center"/>
              <w:rPr>
                <w:b/>
                <w:bCs/>
              </w:rPr>
            </w:pPr>
            <w:bookmarkStart w:id="0" w:name="_GoBack"/>
            <w:bookmarkEnd w:id="0"/>
            <w:r w:rsidRPr="0078336C">
              <w:rPr>
                <w:b/>
                <w:bCs/>
              </w:rPr>
              <w:t>Sritis</w:t>
            </w:r>
          </w:p>
        </w:tc>
        <w:tc>
          <w:tcPr>
            <w:tcW w:w="1956" w:type="dxa"/>
            <w:vAlign w:val="center"/>
          </w:tcPr>
          <w:p w:rsidR="0078336C" w:rsidRPr="0078336C" w:rsidRDefault="0078336C" w:rsidP="0015660D">
            <w:pPr>
              <w:jc w:val="center"/>
              <w:rPr>
                <w:b/>
                <w:bCs/>
              </w:rPr>
            </w:pPr>
            <w:r w:rsidRPr="0078336C">
              <w:rPr>
                <w:b/>
                <w:bCs/>
              </w:rPr>
              <w:t>Rodiklis</w:t>
            </w:r>
          </w:p>
        </w:tc>
        <w:tc>
          <w:tcPr>
            <w:tcW w:w="1267" w:type="dxa"/>
            <w:vAlign w:val="center"/>
          </w:tcPr>
          <w:p w:rsidR="0078336C" w:rsidRPr="0078336C" w:rsidRDefault="0078336C" w:rsidP="0015660D">
            <w:pPr>
              <w:jc w:val="center"/>
              <w:rPr>
                <w:b/>
                <w:bCs/>
              </w:rPr>
            </w:pPr>
            <w:r w:rsidRPr="0078336C">
              <w:rPr>
                <w:b/>
                <w:bCs/>
              </w:rPr>
              <w:t>Vertinimo lygis prieš projektą</w:t>
            </w:r>
          </w:p>
        </w:tc>
        <w:tc>
          <w:tcPr>
            <w:tcW w:w="1094" w:type="dxa"/>
            <w:vAlign w:val="center"/>
          </w:tcPr>
          <w:p w:rsidR="0078336C" w:rsidRPr="0078336C" w:rsidRDefault="0078336C" w:rsidP="0015660D">
            <w:pPr>
              <w:jc w:val="center"/>
              <w:rPr>
                <w:b/>
                <w:bCs/>
              </w:rPr>
            </w:pPr>
            <w:r w:rsidRPr="0078336C">
              <w:rPr>
                <w:b/>
                <w:bCs/>
              </w:rPr>
              <w:t xml:space="preserve">Vertinimo lygis po </w:t>
            </w:r>
            <w:r>
              <w:rPr>
                <w:b/>
                <w:bCs/>
              </w:rPr>
              <w:t xml:space="preserve">antrųjų </w:t>
            </w:r>
            <w:proofErr w:type="spellStart"/>
            <w:r w:rsidRPr="0078336C">
              <w:rPr>
                <w:b/>
                <w:bCs/>
              </w:rPr>
              <w:t>m</w:t>
            </w:r>
            <w:proofErr w:type="spellEnd"/>
            <w:r w:rsidRPr="0078336C">
              <w:rPr>
                <w:b/>
                <w:bCs/>
              </w:rPr>
              <w:t xml:space="preserve">. </w:t>
            </w:r>
            <w:proofErr w:type="spellStart"/>
            <w:r w:rsidRPr="0078336C">
              <w:rPr>
                <w:b/>
                <w:bCs/>
              </w:rPr>
              <w:t>m</w:t>
            </w:r>
            <w:proofErr w:type="spellEnd"/>
            <w:r w:rsidRPr="0078336C">
              <w:rPr>
                <w:b/>
                <w:bCs/>
              </w:rPr>
              <w:t>.</w:t>
            </w:r>
          </w:p>
        </w:tc>
        <w:tc>
          <w:tcPr>
            <w:tcW w:w="2074" w:type="dxa"/>
            <w:vAlign w:val="center"/>
          </w:tcPr>
          <w:p w:rsidR="0078336C" w:rsidRPr="0078336C" w:rsidRDefault="0078336C" w:rsidP="0015660D">
            <w:pPr>
              <w:jc w:val="center"/>
              <w:rPr>
                <w:b/>
                <w:bCs/>
              </w:rPr>
            </w:pPr>
            <w:r w:rsidRPr="0078336C">
              <w:rPr>
                <w:b/>
                <w:bCs/>
              </w:rPr>
              <w:t>Pokytis (įrašyti - rezultatai pagerėjo, pablogėjo, liko tokie patys)</w:t>
            </w:r>
          </w:p>
        </w:tc>
        <w:tc>
          <w:tcPr>
            <w:tcW w:w="6320" w:type="dxa"/>
            <w:vAlign w:val="center"/>
          </w:tcPr>
          <w:p w:rsidR="0078336C" w:rsidRPr="0078336C" w:rsidRDefault="0078336C" w:rsidP="0015660D">
            <w:pPr>
              <w:jc w:val="center"/>
              <w:rPr>
                <w:b/>
                <w:bCs/>
              </w:rPr>
            </w:pPr>
            <w:r w:rsidRPr="0078336C">
              <w:rPr>
                <w:b/>
                <w:bCs/>
              </w:rPr>
              <w:t>Įrodymai ir/ar argumentai, ir/ar priežastys.</w:t>
            </w:r>
          </w:p>
        </w:tc>
      </w:tr>
      <w:tr w:rsidR="0078336C" w:rsidRPr="0078336C" w:rsidTr="0015660D">
        <w:trPr>
          <w:trHeight w:val="64"/>
        </w:trPr>
        <w:tc>
          <w:tcPr>
            <w:tcW w:w="1508" w:type="dxa"/>
            <w:tcBorders>
              <w:bottom w:val="nil"/>
            </w:tcBorders>
          </w:tcPr>
          <w:p w:rsidR="0078336C" w:rsidRPr="0078336C" w:rsidRDefault="0078336C" w:rsidP="0015660D">
            <w:pPr>
              <w:rPr>
                <w:bCs/>
              </w:rPr>
            </w:pPr>
            <w:r w:rsidRPr="0078336C">
              <w:rPr>
                <w:bCs/>
              </w:rPr>
              <w:t>1. Rezultatai</w:t>
            </w:r>
          </w:p>
          <w:p w:rsidR="0078336C" w:rsidRPr="0078336C" w:rsidRDefault="0078336C" w:rsidP="0015660D">
            <w:pPr>
              <w:rPr>
                <w:bCs/>
              </w:rPr>
            </w:pPr>
          </w:p>
          <w:p w:rsidR="0078336C" w:rsidRPr="0078336C" w:rsidRDefault="0078336C" w:rsidP="0015660D">
            <w:pPr>
              <w:rPr>
                <w:bCs/>
              </w:rPr>
            </w:pPr>
          </w:p>
          <w:p w:rsidR="0078336C" w:rsidRPr="0078336C" w:rsidRDefault="0078336C" w:rsidP="0015660D">
            <w:pPr>
              <w:rPr>
                <w:bCs/>
              </w:rPr>
            </w:pPr>
          </w:p>
        </w:tc>
        <w:tc>
          <w:tcPr>
            <w:tcW w:w="1956" w:type="dxa"/>
          </w:tcPr>
          <w:p w:rsidR="0078336C" w:rsidRPr="0078336C" w:rsidRDefault="0078336C" w:rsidP="0015660D">
            <w:pPr>
              <w:rPr>
                <w:bCs/>
              </w:rPr>
            </w:pPr>
            <w:r w:rsidRPr="0078336C">
              <w:rPr>
                <w:bCs/>
              </w:rPr>
              <w:t>1.1. Asmenybės tapsmas</w:t>
            </w:r>
          </w:p>
        </w:tc>
        <w:tc>
          <w:tcPr>
            <w:tcW w:w="1267" w:type="dxa"/>
          </w:tcPr>
          <w:p w:rsidR="0078336C" w:rsidRPr="0078336C" w:rsidRDefault="001B36AB" w:rsidP="0015660D">
            <w:pPr>
              <w:rPr>
                <w:bCs/>
              </w:rPr>
            </w:pPr>
            <w:r>
              <w:rPr>
                <w:bCs/>
              </w:rPr>
              <w:t>3</w:t>
            </w:r>
          </w:p>
        </w:tc>
        <w:tc>
          <w:tcPr>
            <w:tcW w:w="1094" w:type="dxa"/>
          </w:tcPr>
          <w:p w:rsidR="0078336C" w:rsidRPr="0078336C" w:rsidRDefault="001B36AB" w:rsidP="0015660D">
            <w:pPr>
              <w:rPr>
                <w:bCs/>
              </w:rPr>
            </w:pPr>
            <w:r>
              <w:rPr>
                <w:bCs/>
              </w:rPr>
              <w:t>3</w:t>
            </w:r>
          </w:p>
        </w:tc>
        <w:tc>
          <w:tcPr>
            <w:tcW w:w="2074" w:type="dxa"/>
          </w:tcPr>
          <w:p w:rsidR="0078336C" w:rsidRPr="0078336C" w:rsidRDefault="001B36AB" w:rsidP="0015660D">
            <w:pPr>
              <w:rPr>
                <w:bCs/>
              </w:rPr>
            </w:pPr>
            <w:r>
              <w:rPr>
                <w:bCs/>
              </w:rPr>
              <w:t>Liko tokie patys</w:t>
            </w:r>
          </w:p>
        </w:tc>
        <w:tc>
          <w:tcPr>
            <w:tcW w:w="6320" w:type="dxa"/>
          </w:tcPr>
          <w:p w:rsidR="0078336C" w:rsidRDefault="008368B7" w:rsidP="008368B7">
            <w:pPr>
              <w:rPr>
                <w:bCs/>
              </w:rPr>
            </w:pPr>
            <w:r>
              <w:rPr>
                <w:bCs/>
              </w:rPr>
              <w:t xml:space="preserve">2021 </w:t>
            </w:r>
            <w:proofErr w:type="spellStart"/>
            <w:r>
              <w:rPr>
                <w:bCs/>
              </w:rPr>
              <w:t>m</w:t>
            </w:r>
            <w:proofErr w:type="spellEnd"/>
            <w:r>
              <w:rPr>
                <w:bCs/>
              </w:rPr>
              <w:t>. rudenį mokykloje atliktas patyčių lygio nustatymo tyrimas parodė, kad patyčių mastas mokykloje mažėja, mokykloje užfiksuoti tik keli pavieniai smurto (muštynių) tarp mokinių atvejai iš t</w:t>
            </w:r>
            <w:r w:rsidR="00053520">
              <w:rPr>
                <w:bCs/>
              </w:rPr>
              <w:t>o</w:t>
            </w:r>
            <w:r>
              <w:rPr>
                <w:bCs/>
              </w:rPr>
              <w:t xml:space="preserve"> galime spręsti, kad </w:t>
            </w:r>
            <w:proofErr w:type="spellStart"/>
            <w:r w:rsidR="00201B11">
              <w:rPr>
                <w:bCs/>
              </w:rPr>
              <w:t>Liepijų</w:t>
            </w:r>
            <w:proofErr w:type="spellEnd"/>
            <w:r>
              <w:rPr>
                <w:bCs/>
              </w:rPr>
              <w:t xml:space="preserve"> mokyklos mokiniai geba save valdyti stresinėse situacijose, konstruktyviai spręsti konfliktus. Mokykloje pastebima tolerancija kitokiems – šiais mokslo metais buvo suorganizuoti tokie renginiai </w:t>
            </w:r>
            <w:r w:rsidR="00201B11">
              <w:rPr>
                <w:bCs/>
              </w:rPr>
              <w:t>kaip ,,Skirtingų kojinių diena“</w:t>
            </w:r>
            <w:r>
              <w:rPr>
                <w:bCs/>
              </w:rPr>
              <w:t>,</w:t>
            </w:r>
            <w:r w:rsidR="00201B11">
              <w:rPr>
                <w:bCs/>
              </w:rPr>
              <w:t xml:space="preserve"> ,,Tolerancijos diena“ </w:t>
            </w:r>
            <w:r>
              <w:rPr>
                <w:bCs/>
              </w:rPr>
              <w:t>dvi</w:t>
            </w:r>
            <w:r w:rsidR="00201B11">
              <w:rPr>
                <w:bCs/>
              </w:rPr>
              <w:t xml:space="preserve">  integruotos pamokos</w:t>
            </w:r>
            <w:r>
              <w:rPr>
                <w:bCs/>
              </w:rPr>
              <w:t xml:space="preserve"> su ugdytiniais iš specialiojo ugdymo centro.</w:t>
            </w:r>
          </w:p>
          <w:p w:rsidR="008368B7" w:rsidRDefault="008368B7" w:rsidP="008368B7">
            <w:pPr>
              <w:rPr>
                <w:bCs/>
              </w:rPr>
            </w:pPr>
            <w:r>
              <w:rPr>
                <w:bCs/>
              </w:rPr>
              <w:t xml:space="preserve"> Mokiniai noriai bendrauja ir bendradarbiauja, šiais metais ypač aktyvintas bendravimas ir bendradarbiavimas tarp skirtingų skyrių mokinių: surengtos krepšinio varžybos 3x3, kuriose rungėsi Platelių ir </w:t>
            </w:r>
            <w:proofErr w:type="spellStart"/>
            <w:r>
              <w:rPr>
                <w:bCs/>
              </w:rPr>
              <w:t>Šateikių</w:t>
            </w:r>
            <w:proofErr w:type="spellEnd"/>
            <w:r>
              <w:rPr>
                <w:bCs/>
              </w:rPr>
              <w:t xml:space="preserve"> skyrių dešimtokai, kvadrato varžybos, kuriose rungėsi Platelių ir </w:t>
            </w:r>
            <w:proofErr w:type="spellStart"/>
            <w:r>
              <w:rPr>
                <w:bCs/>
              </w:rPr>
              <w:t>Šateikių</w:t>
            </w:r>
            <w:proofErr w:type="spellEnd"/>
            <w:r>
              <w:rPr>
                <w:bCs/>
              </w:rPr>
              <w:t xml:space="preserve"> skyrių ketvirtokai, Nacionalinio saugumo dienoje dalyvavo abiejų skyrių mokiniai, kurie būrėsi į mišrias komandas ir bendradarbiaudami ugdėsi pilietiškumą, bei fizinę ištvermę.</w:t>
            </w:r>
          </w:p>
          <w:p w:rsidR="008368B7" w:rsidRPr="0078336C" w:rsidRDefault="008368B7" w:rsidP="008368B7">
            <w:pPr>
              <w:rPr>
                <w:bCs/>
              </w:rPr>
            </w:pPr>
            <w:r>
              <w:rPr>
                <w:bCs/>
              </w:rPr>
              <w:t xml:space="preserve">Tačiau </w:t>
            </w:r>
            <w:r w:rsidR="00BF2E58">
              <w:rPr>
                <w:bCs/>
              </w:rPr>
              <w:t xml:space="preserve">įsivertinimo grupės nuomone </w:t>
            </w:r>
            <w:proofErr w:type="spellStart"/>
            <w:r w:rsidR="00BF2E58">
              <w:rPr>
                <w:bCs/>
              </w:rPr>
              <w:t>L</w:t>
            </w:r>
            <w:r>
              <w:rPr>
                <w:bCs/>
              </w:rPr>
              <w:t>iepijų</w:t>
            </w:r>
            <w:proofErr w:type="spellEnd"/>
            <w:r>
              <w:rPr>
                <w:bCs/>
              </w:rPr>
              <w:t xml:space="preserve"> mokyklos mokinia</w:t>
            </w:r>
            <w:r w:rsidR="00BF2E58">
              <w:rPr>
                <w:bCs/>
              </w:rPr>
              <w:t>m</w:t>
            </w:r>
            <w:r>
              <w:rPr>
                <w:bCs/>
              </w:rPr>
              <w:t xml:space="preserve">s trūksta ambicingumo ir atkaklumo siekiant asmeninės mokymosi pažangos, mokiniai linkę save nuvertinti, nekelia sau aukštų tikslų (tai ypač pasireiškia </w:t>
            </w:r>
            <w:proofErr w:type="spellStart"/>
            <w:r>
              <w:rPr>
                <w:bCs/>
              </w:rPr>
              <w:t>Šateikių</w:t>
            </w:r>
            <w:proofErr w:type="spellEnd"/>
            <w:r>
              <w:rPr>
                <w:bCs/>
              </w:rPr>
              <w:t xml:space="preserve"> skyriuje)</w:t>
            </w:r>
            <w:r w:rsidR="00BF2E58">
              <w:rPr>
                <w:bCs/>
              </w:rPr>
              <w:t>.</w:t>
            </w:r>
          </w:p>
        </w:tc>
      </w:tr>
      <w:tr w:rsidR="0078336C" w:rsidRPr="0078336C" w:rsidTr="0015660D">
        <w:tc>
          <w:tcPr>
            <w:tcW w:w="1508" w:type="dxa"/>
            <w:tcBorders>
              <w:top w:val="nil"/>
            </w:tcBorders>
          </w:tcPr>
          <w:p w:rsidR="0078336C" w:rsidRPr="0078336C" w:rsidRDefault="0078336C" w:rsidP="0015660D">
            <w:pPr>
              <w:rPr>
                <w:bCs/>
              </w:rPr>
            </w:pPr>
          </w:p>
        </w:tc>
        <w:tc>
          <w:tcPr>
            <w:tcW w:w="1956" w:type="dxa"/>
          </w:tcPr>
          <w:p w:rsidR="0078336C" w:rsidRPr="0078336C" w:rsidRDefault="0078336C" w:rsidP="0015660D">
            <w:pPr>
              <w:rPr>
                <w:bCs/>
              </w:rPr>
            </w:pPr>
            <w:r w:rsidRPr="0078336C">
              <w:rPr>
                <w:bCs/>
              </w:rPr>
              <w:t>1.2. Mokinio pasiekimai ir pažanga</w:t>
            </w:r>
          </w:p>
          <w:p w:rsidR="0078336C" w:rsidRPr="0078336C" w:rsidRDefault="0078336C" w:rsidP="0015660D">
            <w:pPr>
              <w:rPr>
                <w:bCs/>
              </w:rPr>
            </w:pPr>
          </w:p>
        </w:tc>
        <w:tc>
          <w:tcPr>
            <w:tcW w:w="1267" w:type="dxa"/>
          </w:tcPr>
          <w:p w:rsidR="0078336C" w:rsidRPr="0078336C" w:rsidRDefault="001B36AB" w:rsidP="0015660D">
            <w:pPr>
              <w:rPr>
                <w:bCs/>
              </w:rPr>
            </w:pPr>
            <w:r>
              <w:rPr>
                <w:bCs/>
              </w:rPr>
              <w:t>2</w:t>
            </w:r>
          </w:p>
        </w:tc>
        <w:tc>
          <w:tcPr>
            <w:tcW w:w="1094" w:type="dxa"/>
          </w:tcPr>
          <w:p w:rsidR="0078336C" w:rsidRPr="0078336C" w:rsidRDefault="001B36AB" w:rsidP="0015660D">
            <w:pPr>
              <w:rPr>
                <w:bCs/>
              </w:rPr>
            </w:pPr>
            <w:r>
              <w:rPr>
                <w:bCs/>
              </w:rPr>
              <w:t>2</w:t>
            </w:r>
          </w:p>
        </w:tc>
        <w:tc>
          <w:tcPr>
            <w:tcW w:w="2074" w:type="dxa"/>
          </w:tcPr>
          <w:p w:rsidR="0078336C" w:rsidRPr="0078336C" w:rsidRDefault="001B36AB" w:rsidP="0015660D">
            <w:pPr>
              <w:rPr>
                <w:bCs/>
              </w:rPr>
            </w:pPr>
            <w:r>
              <w:rPr>
                <w:bCs/>
              </w:rPr>
              <w:t>Pagerėjo</w:t>
            </w:r>
            <w:r w:rsidR="00D32418">
              <w:rPr>
                <w:bCs/>
              </w:rPr>
              <w:t>, tačiau mūsų manymu trečio lygmens dar nesiekia</w:t>
            </w:r>
          </w:p>
        </w:tc>
        <w:tc>
          <w:tcPr>
            <w:tcW w:w="6320" w:type="dxa"/>
          </w:tcPr>
          <w:p w:rsidR="0078336C" w:rsidRDefault="0078336C" w:rsidP="00BF2E58">
            <w:pPr>
              <w:rPr>
                <w:bCs/>
              </w:rPr>
            </w:pPr>
            <w:r w:rsidRPr="0078336C">
              <w:rPr>
                <w:bCs/>
              </w:rPr>
              <w:t xml:space="preserve"> </w:t>
            </w:r>
            <w:r w:rsidR="00BF2E58">
              <w:rPr>
                <w:bCs/>
              </w:rPr>
              <w:t>Šias metai</w:t>
            </w:r>
            <w:r w:rsidR="00201B11">
              <w:rPr>
                <w:bCs/>
              </w:rPr>
              <w:t>s</w:t>
            </w:r>
            <w:r w:rsidR="00BF2E58">
              <w:rPr>
                <w:bCs/>
              </w:rPr>
              <w:t xml:space="preserve"> mokykla susitelkė į individualios mokinio pažangos stebėjimą ir fiksavimą 100 </w:t>
            </w:r>
            <w:proofErr w:type="spellStart"/>
            <w:r w:rsidR="00BF2E58">
              <w:rPr>
                <w:bCs/>
              </w:rPr>
              <w:t>proc</w:t>
            </w:r>
            <w:proofErr w:type="spellEnd"/>
            <w:r w:rsidR="00BF2E58">
              <w:rPr>
                <w:bCs/>
              </w:rPr>
              <w:t>. 5 – 10 klas</w:t>
            </w:r>
            <w:r w:rsidR="00201B11">
              <w:rPr>
                <w:bCs/>
              </w:rPr>
              <w:t xml:space="preserve">ių mokinių nuosekliai ir </w:t>
            </w:r>
            <w:proofErr w:type="spellStart"/>
            <w:r w:rsidR="00201B11">
              <w:rPr>
                <w:bCs/>
              </w:rPr>
              <w:t>inovaty</w:t>
            </w:r>
            <w:r w:rsidR="00BF2E58">
              <w:rPr>
                <w:bCs/>
              </w:rPr>
              <w:t>viai</w:t>
            </w:r>
            <w:proofErr w:type="spellEnd"/>
            <w:r w:rsidR="00BF2E58">
              <w:rPr>
                <w:bCs/>
              </w:rPr>
              <w:t xml:space="preserve">  stebi savo asmeninę mokymosi pažangą, gali aiškiai atsakyti kas jiems sekasi, bei kuriuose dalykuose sėkmė vėluoja. S</w:t>
            </w:r>
            <w:r w:rsidR="00201B11">
              <w:rPr>
                <w:bCs/>
              </w:rPr>
              <w:t>iekdama</w:t>
            </w:r>
            <w:r w:rsidR="00BF2E58">
              <w:rPr>
                <w:bCs/>
              </w:rPr>
              <w:t xml:space="preserve"> motyvuoti ir skatinti mokinius mokykla siekia apčiuopti ir įvardinti kiekvieno mokinio sėkmę – padėkos raštais buvo paskatinti didžiausią pažangą kiekvienoje klasėje padarę mokiniai, nei vienos pamokos nepraleidę mokiniai, aktyvumą ir pastangas mokantis demonstravę mokiniai, mokiniai, kurie mokėsi gerai ir labai gerai, taip mokykla pasiekė, kad kiekvienas mokinys būstų pastebėtas ir apdovanotas.</w:t>
            </w:r>
          </w:p>
          <w:p w:rsidR="00BF2E58" w:rsidRPr="0078336C" w:rsidRDefault="00BF2E58" w:rsidP="00BF2E58">
            <w:pPr>
              <w:rPr>
                <w:bCs/>
              </w:rPr>
            </w:pPr>
            <w:r>
              <w:rPr>
                <w:bCs/>
              </w:rPr>
              <w:t xml:space="preserve"> Tačiau siekiant mokymosi pasiekimų gerinimo sėkmė vis dar vėluoja – išanalizavus visus duomenis nustatyta, kad bendra 5 – 10 klasių mokinių pažanga yra neigiama, </w:t>
            </w:r>
            <w:proofErr w:type="spellStart"/>
            <w:r>
              <w:rPr>
                <w:bCs/>
              </w:rPr>
              <w:t>t.y</w:t>
            </w:r>
            <w:proofErr w:type="spellEnd"/>
            <w:r>
              <w:rPr>
                <w:bCs/>
              </w:rPr>
              <w:t xml:space="preserve">. mokymosi vidurkis sumažėjo per 0,06 balo. Ypač liūdina matematikos PPUP rezultatas – matematikos patikrinimą išlaikė tik 33,33 </w:t>
            </w:r>
            <w:proofErr w:type="spellStart"/>
            <w:r>
              <w:rPr>
                <w:bCs/>
              </w:rPr>
              <w:t>proc</w:t>
            </w:r>
            <w:proofErr w:type="spellEnd"/>
            <w:r>
              <w:rPr>
                <w:bCs/>
              </w:rPr>
              <w:t xml:space="preserve">. dešimtokų.  </w:t>
            </w:r>
          </w:p>
        </w:tc>
      </w:tr>
      <w:tr w:rsidR="0078336C" w:rsidRPr="0078336C" w:rsidTr="0015660D">
        <w:tc>
          <w:tcPr>
            <w:tcW w:w="1508" w:type="dxa"/>
          </w:tcPr>
          <w:p w:rsidR="0078336C" w:rsidRPr="0078336C" w:rsidRDefault="0078336C" w:rsidP="0015660D">
            <w:pPr>
              <w:rPr>
                <w:bCs/>
              </w:rPr>
            </w:pPr>
            <w:r w:rsidRPr="0078336C">
              <w:rPr>
                <w:bCs/>
              </w:rPr>
              <w:t>2. Pagalba mokiniui</w:t>
            </w:r>
          </w:p>
        </w:tc>
        <w:tc>
          <w:tcPr>
            <w:tcW w:w="1956" w:type="dxa"/>
          </w:tcPr>
          <w:p w:rsidR="0078336C" w:rsidRPr="0078336C" w:rsidRDefault="0078336C" w:rsidP="0015660D">
            <w:pPr>
              <w:rPr>
                <w:bCs/>
              </w:rPr>
            </w:pPr>
            <w:r w:rsidRPr="0078336C">
              <w:rPr>
                <w:bCs/>
              </w:rPr>
              <w:t>2.1. Orientavimasis į mokinio asmenybės tapsmą</w:t>
            </w:r>
          </w:p>
          <w:p w:rsidR="0078336C" w:rsidRPr="0078336C" w:rsidRDefault="0078336C" w:rsidP="0015660D">
            <w:pPr>
              <w:rPr>
                <w:bCs/>
              </w:rPr>
            </w:pPr>
          </w:p>
        </w:tc>
        <w:tc>
          <w:tcPr>
            <w:tcW w:w="1267" w:type="dxa"/>
          </w:tcPr>
          <w:p w:rsidR="0078336C" w:rsidRPr="0078336C" w:rsidRDefault="001B36AB" w:rsidP="0015660D">
            <w:pPr>
              <w:rPr>
                <w:bCs/>
              </w:rPr>
            </w:pPr>
            <w:r>
              <w:rPr>
                <w:bCs/>
              </w:rPr>
              <w:lastRenderedPageBreak/>
              <w:t>3</w:t>
            </w:r>
          </w:p>
        </w:tc>
        <w:tc>
          <w:tcPr>
            <w:tcW w:w="1094" w:type="dxa"/>
          </w:tcPr>
          <w:p w:rsidR="0078336C" w:rsidRPr="0078336C" w:rsidRDefault="001B36AB" w:rsidP="0015660D">
            <w:pPr>
              <w:rPr>
                <w:bCs/>
              </w:rPr>
            </w:pPr>
            <w:r>
              <w:rPr>
                <w:bCs/>
              </w:rPr>
              <w:t>3</w:t>
            </w:r>
          </w:p>
        </w:tc>
        <w:tc>
          <w:tcPr>
            <w:tcW w:w="2074" w:type="dxa"/>
          </w:tcPr>
          <w:p w:rsidR="0078336C" w:rsidRPr="0078336C" w:rsidRDefault="001B36AB" w:rsidP="0015660D">
            <w:pPr>
              <w:rPr>
                <w:bCs/>
              </w:rPr>
            </w:pPr>
            <w:r>
              <w:rPr>
                <w:bCs/>
              </w:rPr>
              <w:t>Pagerėjo</w:t>
            </w:r>
          </w:p>
        </w:tc>
        <w:tc>
          <w:tcPr>
            <w:tcW w:w="6320" w:type="dxa"/>
          </w:tcPr>
          <w:p w:rsidR="0078336C" w:rsidRDefault="00D52F61" w:rsidP="0015660D">
            <w:pPr>
              <w:rPr>
                <w:bCs/>
              </w:rPr>
            </w:pPr>
            <w:r>
              <w:rPr>
                <w:bCs/>
              </w:rPr>
              <w:t xml:space="preserve">Mokykloje gausu renginių ir išvykų 100 </w:t>
            </w:r>
            <w:proofErr w:type="spellStart"/>
            <w:r>
              <w:rPr>
                <w:bCs/>
              </w:rPr>
              <w:t>proc</w:t>
            </w:r>
            <w:proofErr w:type="spellEnd"/>
            <w:r>
              <w:rPr>
                <w:bCs/>
              </w:rPr>
              <w:t>. mokinių dalyvavo ,,Ku</w:t>
            </w:r>
            <w:r w:rsidR="00201B11">
              <w:rPr>
                <w:bCs/>
              </w:rPr>
              <w:t xml:space="preserve">ltūros paso“ siūlomose veikose ir ,,Geros savijautos“ programoje, </w:t>
            </w:r>
            <w:r>
              <w:rPr>
                <w:bCs/>
              </w:rPr>
              <w:t xml:space="preserve"> užsiėmim</w:t>
            </w:r>
            <w:r w:rsidR="00201B11">
              <w:rPr>
                <w:bCs/>
              </w:rPr>
              <w:t xml:space="preserve">ai vyko </w:t>
            </w:r>
            <w:r>
              <w:rPr>
                <w:bCs/>
              </w:rPr>
              <w:t xml:space="preserve">ne tik </w:t>
            </w:r>
            <w:proofErr w:type="spellStart"/>
            <w:r w:rsidR="00201B11">
              <w:rPr>
                <w:bCs/>
              </w:rPr>
              <w:t>Liepijų</w:t>
            </w:r>
            <w:proofErr w:type="spellEnd"/>
            <w:r>
              <w:rPr>
                <w:bCs/>
              </w:rPr>
              <w:t xml:space="preserve"> mokykloje, bet </w:t>
            </w:r>
            <w:r w:rsidR="00201B11">
              <w:rPr>
                <w:bCs/>
              </w:rPr>
              <w:t>mokiniai vyko ir</w:t>
            </w:r>
            <w:r>
              <w:rPr>
                <w:bCs/>
              </w:rPr>
              <w:t xml:space="preserve"> į kitus miestus. Visi </w:t>
            </w:r>
            <w:proofErr w:type="spellStart"/>
            <w:r>
              <w:rPr>
                <w:bCs/>
              </w:rPr>
              <w:lastRenderedPageBreak/>
              <w:t>Liepijų</w:t>
            </w:r>
            <w:proofErr w:type="spellEnd"/>
            <w:r>
              <w:rPr>
                <w:bCs/>
              </w:rPr>
              <w:t xml:space="preserve"> mokyklos mokiniai dalyvauja socialinio emocinio ugdymo programose, siekdami socialinio emocinio intelekto ugdymą  padaryti patrauklesniu ir veiksmingesniu mokykla nusprendė abiejuose skyriuose taikyti tą pačia socialinio-emocinio intelekto ugdymo sistemą </w:t>
            </w:r>
            <w:proofErr w:type="spellStart"/>
            <w:r>
              <w:rPr>
                <w:bCs/>
              </w:rPr>
              <w:t>Lions</w:t>
            </w:r>
            <w:proofErr w:type="spellEnd"/>
            <w:r>
              <w:rPr>
                <w:bCs/>
              </w:rPr>
              <w:t xml:space="preserve"> </w:t>
            </w:r>
            <w:proofErr w:type="spellStart"/>
            <w:r>
              <w:rPr>
                <w:bCs/>
              </w:rPr>
              <w:t>Qest</w:t>
            </w:r>
            <w:proofErr w:type="spellEnd"/>
            <w:r>
              <w:rPr>
                <w:bCs/>
              </w:rPr>
              <w:t>.</w:t>
            </w:r>
          </w:p>
          <w:p w:rsidR="00D52F61" w:rsidRDefault="00D52F61" w:rsidP="00D52F61">
            <w:pPr>
              <w:rPr>
                <w:bCs/>
              </w:rPr>
            </w:pPr>
            <w:r>
              <w:rPr>
                <w:bCs/>
              </w:rPr>
              <w:t xml:space="preserve">  Mokiniai skatinami įsitraukti į savanoriškas ir labdaringas veiklas, suorganizuotos talkos ,,Darom“, taip pat paramos akcija nuo karo nukentėjusiems Ukrainos žmonėms  ,,Saldžiai  vardan Ukrainos“, kurios metu mokiniai savanoriškai kepė saldžius ir netik saldžius kepinius, juos pardavė labdaros mugėje, o pinigus paaukojo Ukrainos karo pabėgėliams.</w:t>
            </w:r>
          </w:p>
          <w:p w:rsidR="00D52F61" w:rsidRPr="0078336C" w:rsidRDefault="00D52F61" w:rsidP="00D52F61">
            <w:pPr>
              <w:rPr>
                <w:bCs/>
              </w:rPr>
            </w:pPr>
            <w:r>
              <w:rPr>
                <w:bCs/>
              </w:rPr>
              <w:t xml:space="preserve">  Aktyvai mokykla dirbo ugdymo karjerai srityje, pažanga šioje srityje ypač pasijautė </w:t>
            </w:r>
            <w:proofErr w:type="spellStart"/>
            <w:r>
              <w:rPr>
                <w:bCs/>
              </w:rPr>
              <w:t>Šateikių</w:t>
            </w:r>
            <w:proofErr w:type="spellEnd"/>
            <w:r>
              <w:rPr>
                <w:bCs/>
              </w:rPr>
              <w:t xml:space="preserve"> skyriuje, kur suorganizuoti mokinių kompetencijas karjeros srityje ugdantys renginiai ,,Projektų mugė“ , ,,Karjeros diena“, bei išvykos į  universitetus, bei kolegijas.</w:t>
            </w:r>
          </w:p>
        </w:tc>
      </w:tr>
      <w:tr w:rsidR="0078336C" w:rsidRPr="0078336C" w:rsidTr="0015660D">
        <w:tc>
          <w:tcPr>
            <w:tcW w:w="1508" w:type="dxa"/>
            <w:tcBorders>
              <w:bottom w:val="nil"/>
            </w:tcBorders>
          </w:tcPr>
          <w:p w:rsidR="0078336C" w:rsidRPr="0078336C" w:rsidRDefault="0078336C" w:rsidP="0015660D">
            <w:pPr>
              <w:rPr>
                <w:bCs/>
              </w:rPr>
            </w:pPr>
          </w:p>
        </w:tc>
        <w:tc>
          <w:tcPr>
            <w:tcW w:w="1956" w:type="dxa"/>
          </w:tcPr>
          <w:p w:rsidR="0078336C" w:rsidRPr="0078336C" w:rsidRDefault="0078336C" w:rsidP="0015660D">
            <w:pPr>
              <w:rPr>
                <w:bCs/>
              </w:rPr>
            </w:pPr>
            <w:r w:rsidRPr="0078336C">
              <w:rPr>
                <w:bCs/>
              </w:rPr>
              <w:t>2.2. Orientavimasis į mokinio poreikius</w:t>
            </w:r>
          </w:p>
          <w:p w:rsidR="0078336C" w:rsidRPr="0078336C" w:rsidRDefault="0078336C" w:rsidP="0015660D">
            <w:pPr>
              <w:rPr>
                <w:bCs/>
              </w:rPr>
            </w:pPr>
          </w:p>
        </w:tc>
        <w:tc>
          <w:tcPr>
            <w:tcW w:w="1267" w:type="dxa"/>
          </w:tcPr>
          <w:p w:rsidR="0078336C" w:rsidRPr="0078336C" w:rsidRDefault="001B36AB" w:rsidP="0015660D">
            <w:pPr>
              <w:rPr>
                <w:bCs/>
              </w:rPr>
            </w:pPr>
            <w:r>
              <w:rPr>
                <w:bCs/>
              </w:rPr>
              <w:t>2</w:t>
            </w:r>
          </w:p>
        </w:tc>
        <w:tc>
          <w:tcPr>
            <w:tcW w:w="1094" w:type="dxa"/>
          </w:tcPr>
          <w:p w:rsidR="0078336C" w:rsidRPr="0078336C" w:rsidRDefault="001B36AB" w:rsidP="0015660D">
            <w:pPr>
              <w:rPr>
                <w:bCs/>
              </w:rPr>
            </w:pPr>
            <w:r>
              <w:rPr>
                <w:bCs/>
              </w:rPr>
              <w:t>3</w:t>
            </w:r>
          </w:p>
        </w:tc>
        <w:tc>
          <w:tcPr>
            <w:tcW w:w="2074" w:type="dxa"/>
          </w:tcPr>
          <w:p w:rsidR="0078336C" w:rsidRPr="0078336C" w:rsidRDefault="001B36AB" w:rsidP="0015660D">
            <w:pPr>
              <w:rPr>
                <w:bCs/>
              </w:rPr>
            </w:pPr>
            <w:r>
              <w:rPr>
                <w:bCs/>
              </w:rPr>
              <w:t>Pagerėjo</w:t>
            </w:r>
          </w:p>
        </w:tc>
        <w:tc>
          <w:tcPr>
            <w:tcW w:w="6320" w:type="dxa"/>
          </w:tcPr>
          <w:p w:rsidR="0078336C" w:rsidRDefault="002C5233" w:rsidP="0015660D">
            <w:pPr>
              <w:rPr>
                <w:bCs/>
              </w:rPr>
            </w:pPr>
            <w:r>
              <w:rPr>
                <w:bCs/>
              </w:rPr>
              <w:t>Šias mokslo metais pradėtas sistemingai sekti ir fiksuoti individualią mokinio pažangą, surinkti duomenys stebimi ir analizuojami: matematikos, lietuvių kalbos, istorijos, geografijos, biologijos, fizikos ir chemijos mokytojai užpildė 6, 8  ir 10 klasių mokinių mokymosi pasiekimų analizės lenteles, bei mokyklos administracijai pateikė rekomendacijas kokių priemonių imtis, kad mokinių mokymosi pasiekimai gerėtų. Mokslo metų pabaigoje surengta mokinių ir jų tėvelių (rūpintojų, globėjų) apklausa , siekiant išsiaiškinti neformalaus ugdymo būrelių pageidavimus ir paklausą, gauti duomenys išanalizuoti, į juos atsižvelgus neformalaus ugdymo organizatoriai teikė pasiūlymus tėvams ir vaikams.</w:t>
            </w:r>
          </w:p>
          <w:p w:rsidR="002C5233" w:rsidRDefault="002C5233" w:rsidP="0015660D">
            <w:pPr>
              <w:rPr>
                <w:bCs/>
              </w:rPr>
            </w:pPr>
            <w:r>
              <w:rPr>
                <w:bCs/>
              </w:rPr>
              <w:t>Mokykloje suorganizuotos 5 mokinių meno dirbinių parodos, mokyklos organizuojamuose renginiuose nuolat pasirodo mokyklos meno kolektyvai ir solistai. Vaikai džiaugiasi vieni kitų laimėjimais ir suvokia, kad kiekvienas sėkmingas skirtingose srityse.</w:t>
            </w:r>
          </w:p>
          <w:p w:rsidR="002C5233" w:rsidRDefault="002C5233" w:rsidP="0015660D">
            <w:pPr>
              <w:rPr>
                <w:bCs/>
              </w:rPr>
            </w:pPr>
            <w:r>
              <w:rPr>
                <w:bCs/>
              </w:rPr>
              <w:t xml:space="preserve"> Tačiau vis dar stinga mokinių aktyvumo pamokose, stebint pamokas konstatuota, kad </w:t>
            </w:r>
            <w:r w:rsidR="00201B11">
              <w:rPr>
                <w:bCs/>
              </w:rPr>
              <w:t xml:space="preserve">70 </w:t>
            </w:r>
            <w:proofErr w:type="spellStart"/>
            <w:r>
              <w:rPr>
                <w:bCs/>
              </w:rPr>
              <w:t>proc</w:t>
            </w:r>
            <w:proofErr w:type="spellEnd"/>
            <w:r>
              <w:rPr>
                <w:bCs/>
              </w:rPr>
              <w:t>. stebėtų pamokų dominuoja mokytojas, mokiniai vis dar neskatinami patys sau išsikelti mokymos</w:t>
            </w:r>
            <w:r w:rsidR="00BF758B">
              <w:rPr>
                <w:bCs/>
              </w:rPr>
              <w:t>i uždavinius (uždavinius patys sau mokiniai kėlė tik vienoje stebėtoje pamokoje). Tačiau visose stabėtose pamokose vyrauja šilti mokinio ir mokytojo santykiai.</w:t>
            </w:r>
          </w:p>
          <w:p w:rsidR="00BF758B" w:rsidRPr="0078336C" w:rsidRDefault="00BF758B" w:rsidP="002C3A8B">
            <w:pPr>
              <w:rPr>
                <w:bCs/>
              </w:rPr>
            </w:pPr>
            <w:r>
              <w:rPr>
                <w:bCs/>
              </w:rPr>
              <w:t xml:space="preserve"> Siekiant užtikrinti paramą ir pagalbą mokymosi sunkumų patiriantiems mokiniams organizuotos ilgalaikės konsultacijos, tačiau jų nauda abejojama, nes mokiniai į konsultacijas eina labai nenoriai. Taipogi  mokymosi pagalba teikta organizuoj</w:t>
            </w:r>
            <w:r w:rsidR="00201B11">
              <w:rPr>
                <w:bCs/>
              </w:rPr>
              <w:t xml:space="preserve">ant ,,Namų darbų klubo veiklas, </w:t>
            </w:r>
            <w:r>
              <w:rPr>
                <w:bCs/>
              </w:rPr>
              <w:t xml:space="preserve"> bei stovyklą ,,Namų darbų klubo vasara“, šią stovyklą lankė </w:t>
            </w:r>
            <w:r w:rsidR="002C3A8B">
              <w:rPr>
                <w:bCs/>
              </w:rPr>
              <w:t>22 mokiniai</w:t>
            </w:r>
            <w:r w:rsidR="00931480">
              <w:rPr>
                <w:bCs/>
              </w:rPr>
              <w:t>.</w:t>
            </w:r>
          </w:p>
        </w:tc>
      </w:tr>
      <w:tr w:rsidR="0078336C" w:rsidRPr="0078336C" w:rsidTr="0015660D">
        <w:tc>
          <w:tcPr>
            <w:tcW w:w="1508" w:type="dxa"/>
            <w:tcBorders>
              <w:top w:val="nil"/>
            </w:tcBorders>
          </w:tcPr>
          <w:p w:rsidR="0078336C" w:rsidRPr="0078336C" w:rsidRDefault="0078336C" w:rsidP="0015660D">
            <w:pPr>
              <w:rPr>
                <w:bCs/>
              </w:rPr>
            </w:pPr>
          </w:p>
        </w:tc>
        <w:tc>
          <w:tcPr>
            <w:tcW w:w="1956" w:type="dxa"/>
          </w:tcPr>
          <w:p w:rsidR="0078336C" w:rsidRPr="0078336C" w:rsidRDefault="0078336C" w:rsidP="0015660D">
            <w:pPr>
              <w:rPr>
                <w:bCs/>
              </w:rPr>
            </w:pPr>
            <w:r w:rsidRPr="0078336C">
              <w:rPr>
                <w:bCs/>
              </w:rPr>
              <w:t xml:space="preserve">2.3. Mokyklos bendruomenės susitarimai dėl kiekvieno mokinio </w:t>
            </w:r>
            <w:r w:rsidRPr="0078336C">
              <w:rPr>
                <w:bCs/>
              </w:rPr>
              <w:lastRenderedPageBreak/>
              <w:t>ugdymosi sėkmės</w:t>
            </w:r>
          </w:p>
          <w:p w:rsidR="0078336C" w:rsidRPr="0078336C" w:rsidRDefault="0078336C" w:rsidP="0015660D">
            <w:pPr>
              <w:rPr>
                <w:bCs/>
              </w:rPr>
            </w:pPr>
          </w:p>
        </w:tc>
        <w:tc>
          <w:tcPr>
            <w:tcW w:w="1267" w:type="dxa"/>
          </w:tcPr>
          <w:p w:rsidR="0078336C" w:rsidRPr="0078336C" w:rsidRDefault="001B36AB" w:rsidP="0015660D">
            <w:pPr>
              <w:rPr>
                <w:bCs/>
              </w:rPr>
            </w:pPr>
            <w:r>
              <w:rPr>
                <w:bCs/>
              </w:rPr>
              <w:lastRenderedPageBreak/>
              <w:t>2</w:t>
            </w:r>
          </w:p>
        </w:tc>
        <w:tc>
          <w:tcPr>
            <w:tcW w:w="1094" w:type="dxa"/>
          </w:tcPr>
          <w:p w:rsidR="0078336C" w:rsidRPr="0078336C" w:rsidRDefault="001B36AB" w:rsidP="0015660D">
            <w:pPr>
              <w:rPr>
                <w:bCs/>
              </w:rPr>
            </w:pPr>
            <w:r>
              <w:rPr>
                <w:bCs/>
              </w:rPr>
              <w:t>3</w:t>
            </w:r>
          </w:p>
        </w:tc>
        <w:tc>
          <w:tcPr>
            <w:tcW w:w="2074" w:type="dxa"/>
          </w:tcPr>
          <w:p w:rsidR="0078336C" w:rsidRPr="0078336C" w:rsidRDefault="001B36AB" w:rsidP="0015660D">
            <w:pPr>
              <w:rPr>
                <w:bCs/>
              </w:rPr>
            </w:pPr>
            <w:r>
              <w:rPr>
                <w:bCs/>
              </w:rPr>
              <w:t>Pagerėjo</w:t>
            </w:r>
          </w:p>
        </w:tc>
        <w:tc>
          <w:tcPr>
            <w:tcW w:w="6320" w:type="dxa"/>
          </w:tcPr>
          <w:p w:rsidR="0078336C" w:rsidRDefault="00931480" w:rsidP="0015660D">
            <w:pPr>
              <w:rPr>
                <w:bCs/>
              </w:rPr>
            </w:pPr>
            <w:r>
              <w:rPr>
                <w:bCs/>
              </w:rPr>
              <w:t>Šias mokslo metais buvo suorganizuotos mokyklos strateginio plano kūrimo d</w:t>
            </w:r>
            <w:r w:rsidR="00B56A7D">
              <w:rPr>
                <w:bCs/>
              </w:rPr>
              <w:t>irbtuvės, kuriose dalyvavo visi</w:t>
            </w:r>
            <w:r>
              <w:rPr>
                <w:bCs/>
              </w:rPr>
              <w:t xml:space="preserve"> </w:t>
            </w:r>
            <w:proofErr w:type="spellStart"/>
            <w:r>
              <w:rPr>
                <w:bCs/>
              </w:rPr>
              <w:t>Liepijų</w:t>
            </w:r>
            <w:proofErr w:type="spellEnd"/>
            <w:r>
              <w:rPr>
                <w:bCs/>
              </w:rPr>
              <w:t xml:space="preserve"> mokyklos mokytojai, mokinių ir tėvų (rūpintojų, globėjų) atstovai. </w:t>
            </w:r>
            <w:r w:rsidR="00B34108">
              <w:rPr>
                <w:bCs/>
              </w:rPr>
              <w:t>Šiose dirbtuvėse priimti bendri mokyklos sprendimai dėl mokyklos ateities vizijos, vertybių ir prioritetų.</w:t>
            </w:r>
          </w:p>
          <w:p w:rsidR="00B34108" w:rsidRDefault="00B34108" w:rsidP="0015660D">
            <w:pPr>
              <w:rPr>
                <w:bCs/>
              </w:rPr>
            </w:pPr>
            <w:r>
              <w:rPr>
                <w:bCs/>
              </w:rPr>
              <w:lastRenderedPageBreak/>
              <w:t>Suaktyvintas mokyklos metodinių grupių darbas, metodinėse grupėse skatinama nuolat analizuoti ir vertinti mokyklos veiklą, bei mokinių pasiekimus, bei teikti pasiūlymus mokyklos veiklos kokybei gerinti.</w:t>
            </w:r>
          </w:p>
          <w:p w:rsidR="00B34108" w:rsidRDefault="00B34108" w:rsidP="0015660D">
            <w:pPr>
              <w:rPr>
                <w:bCs/>
              </w:rPr>
            </w:pPr>
            <w:r>
              <w:rPr>
                <w:bCs/>
              </w:rPr>
              <w:t xml:space="preserve">  Mokslo metų pradžioje susitarta dėl geros pamokos standartų, jais vadovaujantis  parengtas geros pamokos </w:t>
            </w:r>
            <w:proofErr w:type="spellStart"/>
            <w:r>
              <w:rPr>
                <w:bCs/>
              </w:rPr>
              <w:t>Liepių</w:t>
            </w:r>
            <w:proofErr w:type="spellEnd"/>
            <w:r>
              <w:rPr>
                <w:bCs/>
              </w:rPr>
              <w:t xml:space="preserve"> mokykloje aprašas, kurio planuojant ir ruošiantis pamokoms privalo vadovautis visi </w:t>
            </w:r>
            <w:proofErr w:type="spellStart"/>
            <w:r>
              <w:rPr>
                <w:bCs/>
              </w:rPr>
              <w:t>Liepijų</w:t>
            </w:r>
            <w:proofErr w:type="spellEnd"/>
            <w:r>
              <w:rPr>
                <w:bCs/>
              </w:rPr>
              <w:t xml:space="preserve"> mokyklos mokytojai.</w:t>
            </w:r>
          </w:p>
          <w:p w:rsidR="00B34108" w:rsidRPr="0078336C" w:rsidRDefault="00B34108" w:rsidP="0015660D">
            <w:pPr>
              <w:rPr>
                <w:bCs/>
              </w:rPr>
            </w:pPr>
            <w:r>
              <w:rPr>
                <w:bCs/>
              </w:rPr>
              <w:t xml:space="preserve"> Su metodinėmis grupėmis tariamasi dėl mokyklos materialinių išteklių panaudojimo, metodinėse grupėse diskutuota dėl mokymosi vadovėlių įsigijimo ir interaktyvių mokymosi platformų prenumeratos, metodinių grupių pasiūlymai išdiskutuoti ir patvirtini metodinėje taryboje. </w:t>
            </w:r>
          </w:p>
        </w:tc>
      </w:tr>
      <w:tr w:rsidR="0078336C" w:rsidRPr="0078336C" w:rsidTr="0015660D">
        <w:tc>
          <w:tcPr>
            <w:tcW w:w="1508" w:type="dxa"/>
            <w:vMerge w:val="restart"/>
          </w:tcPr>
          <w:p w:rsidR="0078336C" w:rsidRPr="0078336C" w:rsidRDefault="0078336C" w:rsidP="0015660D">
            <w:pPr>
              <w:rPr>
                <w:bCs/>
              </w:rPr>
            </w:pPr>
            <w:r w:rsidRPr="0078336C">
              <w:rPr>
                <w:bCs/>
              </w:rPr>
              <w:lastRenderedPageBreak/>
              <w:t xml:space="preserve">3. </w:t>
            </w:r>
            <w:proofErr w:type="spellStart"/>
            <w:r w:rsidRPr="0078336C">
              <w:rPr>
                <w:bCs/>
              </w:rPr>
              <w:t>Ugdymo(si</w:t>
            </w:r>
            <w:proofErr w:type="spellEnd"/>
            <w:r w:rsidRPr="0078336C">
              <w:rPr>
                <w:bCs/>
              </w:rPr>
              <w:t xml:space="preserve">) procesas </w:t>
            </w:r>
          </w:p>
        </w:tc>
        <w:tc>
          <w:tcPr>
            <w:tcW w:w="1956" w:type="dxa"/>
          </w:tcPr>
          <w:p w:rsidR="0078336C" w:rsidRPr="0078336C" w:rsidRDefault="0078336C" w:rsidP="0015660D">
            <w:pPr>
              <w:rPr>
                <w:bCs/>
              </w:rPr>
            </w:pPr>
            <w:r w:rsidRPr="0078336C">
              <w:rPr>
                <w:bCs/>
              </w:rPr>
              <w:t xml:space="preserve">3.1. </w:t>
            </w:r>
            <w:proofErr w:type="spellStart"/>
            <w:r w:rsidRPr="0078336C">
              <w:rPr>
                <w:bCs/>
              </w:rPr>
              <w:t>Ugdymo(si</w:t>
            </w:r>
            <w:proofErr w:type="spellEnd"/>
            <w:r w:rsidRPr="0078336C">
              <w:rPr>
                <w:bCs/>
              </w:rPr>
              <w:t>) planavimas</w:t>
            </w:r>
          </w:p>
          <w:p w:rsidR="0078336C" w:rsidRPr="0078336C" w:rsidRDefault="0078336C" w:rsidP="0015660D">
            <w:pPr>
              <w:rPr>
                <w:bCs/>
              </w:rPr>
            </w:pPr>
          </w:p>
        </w:tc>
        <w:tc>
          <w:tcPr>
            <w:tcW w:w="1267" w:type="dxa"/>
          </w:tcPr>
          <w:p w:rsidR="0078336C" w:rsidRPr="0078336C" w:rsidRDefault="001B36AB" w:rsidP="0015660D">
            <w:pPr>
              <w:rPr>
                <w:bCs/>
              </w:rPr>
            </w:pPr>
            <w:r>
              <w:rPr>
                <w:bCs/>
              </w:rPr>
              <w:t>2</w:t>
            </w:r>
          </w:p>
        </w:tc>
        <w:tc>
          <w:tcPr>
            <w:tcW w:w="1094" w:type="dxa"/>
          </w:tcPr>
          <w:p w:rsidR="0078336C" w:rsidRPr="0078336C" w:rsidRDefault="001B36AB" w:rsidP="0015660D">
            <w:pPr>
              <w:rPr>
                <w:bCs/>
              </w:rPr>
            </w:pPr>
            <w:r>
              <w:rPr>
                <w:bCs/>
              </w:rPr>
              <w:t>3</w:t>
            </w:r>
          </w:p>
        </w:tc>
        <w:tc>
          <w:tcPr>
            <w:tcW w:w="2074" w:type="dxa"/>
          </w:tcPr>
          <w:p w:rsidR="0078336C" w:rsidRPr="0078336C" w:rsidRDefault="0078336C" w:rsidP="0015660D">
            <w:pPr>
              <w:rPr>
                <w:bCs/>
              </w:rPr>
            </w:pPr>
            <w:r w:rsidRPr="0078336C">
              <w:rPr>
                <w:bCs/>
              </w:rPr>
              <w:t xml:space="preserve"> </w:t>
            </w:r>
            <w:r w:rsidR="001B36AB">
              <w:rPr>
                <w:bCs/>
              </w:rPr>
              <w:t>Pagerėjo</w:t>
            </w:r>
          </w:p>
        </w:tc>
        <w:tc>
          <w:tcPr>
            <w:tcW w:w="6320" w:type="dxa"/>
          </w:tcPr>
          <w:p w:rsidR="0078336C" w:rsidRDefault="00A67F4E" w:rsidP="0015660D">
            <w:pPr>
              <w:rPr>
                <w:bCs/>
              </w:rPr>
            </w:pPr>
            <w:r>
              <w:rPr>
                <w:bCs/>
              </w:rPr>
              <w:t>Šiais mokslo metais susitarta dėl naujos ilgalaikių planų formos, kuriose mokytojai įsipareigojo numatyti</w:t>
            </w:r>
            <w:r w:rsidR="008773B3">
              <w:rPr>
                <w:bCs/>
              </w:rPr>
              <w:t xml:space="preserve"> laukiamus rezultatus, </w:t>
            </w:r>
            <w:proofErr w:type="spellStart"/>
            <w:r w:rsidR="008773B3">
              <w:rPr>
                <w:bCs/>
              </w:rPr>
              <w:t>t.y</w:t>
            </w:r>
            <w:proofErr w:type="spellEnd"/>
            <w:r w:rsidR="008773B3">
              <w:rPr>
                <w:bCs/>
              </w:rPr>
              <w:t>. aiš</w:t>
            </w:r>
            <w:r>
              <w:rPr>
                <w:bCs/>
              </w:rPr>
              <w:t xml:space="preserve">kiai suplanuoti ką mokiniai išmoks, bei kokias kompetencijas įgis. Mokytojai taip pat numato klasės mokinių skaičių pasieksiančių aukštesnįjį lygmenį bei </w:t>
            </w:r>
            <w:r w:rsidR="00201B11">
              <w:rPr>
                <w:bCs/>
              </w:rPr>
              <w:t xml:space="preserve">mokinių skaičių, kurie </w:t>
            </w:r>
            <w:r>
              <w:rPr>
                <w:bCs/>
              </w:rPr>
              <w:t>pasieks</w:t>
            </w:r>
            <w:r w:rsidR="00201B11">
              <w:rPr>
                <w:bCs/>
              </w:rPr>
              <w:t xml:space="preserve"> </w:t>
            </w:r>
            <w:r>
              <w:rPr>
                <w:bCs/>
              </w:rPr>
              <w:t>pagrindinį lygmenį.</w:t>
            </w:r>
          </w:p>
          <w:p w:rsidR="00A67F4E" w:rsidRDefault="00A67F4E" w:rsidP="0015660D">
            <w:pPr>
              <w:rPr>
                <w:bCs/>
              </w:rPr>
            </w:pPr>
            <w:r>
              <w:rPr>
                <w:bCs/>
              </w:rPr>
              <w:t xml:space="preserve"> Planuojant ugdymo veiklas 2022-2023 mokslo metams aptarta aiški tikslų ir uždavinių hierarchija, siekiama kad tikslai ir uždaviniai derėtų ir papildytų vieni kitus.</w:t>
            </w:r>
          </w:p>
          <w:p w:rsidR="00A67F4E" w:rsidRDefault="00A67F4E" w:rsidP="0015660D">
            <w:pPr>
              <w:rPr>
                <w:bCs/>
              </w:rPr>
            </w:pPr>
            <w:r>
              <w:rPr>
                <w:bCs/>
              </w:rPr>
              <w:t xml:space="preserve">   Į ugdomųjų veiklų planavimą žiūrima ypač lanksčiai 30 </w:t>
            </w:r>
            <w:proofErr w:type="spellStart"/>
            <w:r>
              <w:rPr>
                <w:bCs/>
              </w:rPr>
              <w:t>proc</w:t>
            </w:r>
            <w:proofErr w:type="spellEnd"/>
            <w:r>
              <w:rPr>
                <w:bCs/>
              </w:rPr>
              <w:t xml:space="preserve">. pamokų tvarkaraščiuose dubliuojamos </w:t>
            </w:r>
            <w:proofErr w:type="spellStart"/>
            <w:r>
              <w:rPr>
                <w:bCs/>
              </w:rPr>
              <w:t>t.y</w:t>
            </w:r>
            <w:proofErr w:type="spellEnd"/>
            <w:r>
              <w:rPr>
                <w:bCs/>
              </w:rPr>
              <w:t xml:space="preserve">. tęsiasi 90 </w:t>
            </w:r>
            <w:proofErr w:type="spellStart"/>
            <w:r>
              <w:rPr>
                <w:bCs/>
              </w:rPr>
              <w:t>min</w:t>
            </w:r>
            <w:proofErr w:type="spellEnd"/>
            <w:r>
              <w:rPr>
                <w:bCs/>
              </w:rPr>
              <w:t xml:space="preserve">., tvarkaraščiai mokytojų pageidavimu koreguojami ir derinami taip, kad mokytojai turėtų galimybę organizuoti </w:t>
            </w:r>
            <w:proofErr w:type="spellStart"/>
            <w:r>
              <w:rPr>
                <w:bCs/>
              </w:rPr>
              <w:t>tarpdalykinės</w:t>
            </w:r>
            <w:proofErr w:type="spellEnd"/>
            <w:r>
              <w:rPr>
                <w:bCs/>
              </w:rPr>
              <w:t xml:space="preserve"> integracijos pamokas, kai vieną temą moko 2 ir daugiau mokytojų.  Mokytojams bendradarbiaujant tarpusavyje ir integruojant įvairias veiklas buvo suorganizuotos 5 projektinių veiklų dienos ,,Gamtinis ir kultūrinis paveldas Platelių ir </w:t>
            </w:r>
            <w:proofErr w:type="spellStart"/>
            <w:r>
              <w:rPr>
                <w:bCs/>
              </w:rPr>
              <w:t>Šateikių</w:t>
            </w:r>
            <w:proofErr w:type="spellEnd"/>
            <w:r>
              <w:rPr>
                <w:bCs/>
              </w:rPr>
              <w:t xml:space="preserve"> vietovėse“</w:t>
            </w:r>
          </w:p>
          <w:p w:rsidR="00A67F4E" w:rsidRDefault="00A67F4E" w:rsidP="00A67F4E">
            <w:pPr>
              <w:rPr>
                <w:bCs/>
              </w:rPr>
            </w:pPr>
            <w:r>
              <w:rPr>
                <w:bCs/>
              </w:rPr>
              <w:t xml:space="preserve">  Siek</w:t>
            </w:r>
            <w:r w:rsidR="00E9784B">
              <w:rPr>
                <w:bCs/>
              </w:rPr>
              <w:t>i</w:t>
            </w:r>
            <w:r>
              <w:rPr>
                <w:bCs/>
              </w:rPr>
              <w:t xml:space="preserve">ama į ugdymo procesą įtraukti mokiniams patrauklias naujoves įsivertinimui </w:t>
            </w:r>
            <w:r w:rsidR="00B56A7D">
              <w:rPr>
                <w:bCs/>
              </w:rPr>
              <w:t xml:space="preserve">90 </w:t>
            </w:r>
            <w:r>
              <w:rPr>
                <w:bCs/>
              </w:rPr>
              <w:t xml:space="preserve"> </w:t>
            </w:r>
            <w:proofErr w:type="spellStart"/>
            <w:r>
              <w:rPr>
                <w:bCs/>
              </w:rPr>
              <w:t>proc</w:t>
            </w:r>
            <w:proofErr w:type="spellEnd"/>
            <w:r>
              <w:rPr>
                <w:bCs/>
              </w:rPr>
              <w:t xml:space="preserve">. 5 – 8 </w:t>
            </w:r>
            <w:r w:rsidR="00F27DEB">
              <w:rPr>
                <w:bCs/>
              </w:rPr>
              <w:t xml:space="preserve">klasių mokytojų ir 100 </w:t>
            </w:r>
            <w:proofErr w:type="spellStart"/>
            <w:r w:rsidR="00F27DEB">
              <w:rPr>
                <w:bCs/>
              </w:rPr>
              <w:t>proc</w:t>
            </w:r>
            <w:proofErr w:type="spellEnd"/>
            <w:r w:rsidR="00F27DEB">
              <w:rPr>
                <w:bCs/>
              </w:rPr>
              <w:t>. 5 – 8 klasių mokinių naudoja ,,</w:t>
            </w:r>
            <w:proofErr w:type="spellStart"/>
            <w:r w:rsidR="00F27DEB">
              <w:rPr>
                <w:bCs/>
              </w:rPr>
              <w:t>Reflectus</w:t>
            </w:r>
            <w:proofErr w:type="spellEnd"/>
            <w:r w:rsidR="00F27DEB">
              <w:rPr>
                <w:bCs/>
              </w:rPr>
              <w:t xml:space="preserve">“ programėlę, mokymo ir siekiant  mokymosi veiklas padaryti įdomesnėmis ir </w:t>
            </w:r>
            <w:proofErr w:type="spellStart"/>
            <w:r w:rsidR="00F27DEB">
              <w:rPr>
                <w:bCs/>
              </w:rPr>
              <w:t>įtraukesnėmis</w:t>
            </w:r>
            <w:proofErr w:type="spellEnd"/>
            <w:r w:rsidR="00F27DEB">
              <w:rPr>
                <w:bCs/>
              </w:rPr>
              <w:t xml:space="preserve"> suaktyvintas interaktyvių mokymosi platformų naudojimas, įrengtos 6 išmaniosios kla</w:t>
            </w:r>
            <w:r w:rsidR="00201B11">
              <w:rPr>
                <w:bCs/>
              </w:rPr>
              <w:t xml:space="preserve">sės 4 pradinių klasių mokiniams ir 2 išmaniosios </w:t>
            </w:r>
            <w:r w:rsidR="00F27DEB">
              <w:rPr>
                <w:bCs/>
              </w:rPr>
              <w:t xml:space="preserve">5 – 10 klasių </w:t>
            </w:r>
            <w:r w:rsidR="00201B11">
              <w:rPr>
                <w:bCs/>
              </w:rPr>
              <w:t>mokiniams</w:t>
            </w:r>
          </w:p>
          <w:p w:rsidR="00F27DEB" w:rsidRPr="0078336C" w:rsidRDefault="00F27DEB" w:rsidP="00A67F4E">
            <w:pPr>
              <w:rPr>
                <w:bCs/>
              </w:rPr>
            </w:pPr>
            <w:r>
              <w:rPr>
                <w:bCs/>
              </w:rPr>
              <w:t xml:space="preserve">  Mokytojams susitarus dėl geros pamokos kriterijų mokyklos administracija nuosekliai, kryptingai ir pagal aiškius kr</w:t>
            </w:r>
            <w:r w:rsidR="00201B11">
              <w:rPr>
                <w:bCs/>
              </w:rPr>
              <w:t>iterijus vyk</w:t>
            </w:r>
            <w:r>
              <w:rPr>
                <w:bCs/>
              </w:rPr>
              <w:t xml:space="preserve">dė pamokų </w:t>
            </w:r>
            <w:proofErr w:type="spellStart"/>
            <w:r>
              <w:rPr>
                <w:bCs/>
              </w:rPr>
              <w:t>stebėseną</w:t>
            </w:r>
            <w:proofErr w:type="spellEnd"/>
            <w:r>
              <w:rPr>
                <w:bCs/>
              </w:rPr>
              <w:t xml:space="preserve">, stebėjimo metu surinktus duomenis fiksavo </w:t>
            </w:r>
            <w:proofErr w:type="spellStart"/>
            <w:r>
              <w:rPr>
                <w:bCs/>
              </w:rPr>
              <w:t>interaktyvuoje</w:t>
            </w:r>
            <w:proofErr w:type="spellEnd"/>
            <w:r>
              <w:rPr>
                <w:bCs/>
              </w:rPr>
              <w:t xml:space="preserve"> sistemoje, taip išskirdama stipriausius ir silpniausius </w:t>
            </w:r>
            <w:proofErr w:type="spellStart"/>
            <w:r>
              <w:rPr>
                <w:bCs/>
              </w:rPr>
              <w:t>Liepijų</w:t>
            </w:r>
            <w:proofErr w:type="spellEnd"/>
            <w:r>
              <w:rPr>
                <w:bCs/>
              </w:rPr>
              <w:t xml:space="preserve"> mokyklos pamokų aspektus. Pamokų stebėjimo duomenys analizuojami ir panaudojami planuojant tolimesnį ugdymą.</w:t>
            </w:r>
          </w:p>
        </w:tc>
      </w:tr>
      <w:tr w:rsidR="0078336C" w:rsidRPr="0078336C" w:rsidTr="0015660D">
        <w:tc>
          <w:tcPr>
            <w:tcW w:w="1508" w:type="dxa"/>
            <w:vMerge/>
          </w:tcPr>
          <w:p w:rsidR="0078336C" w:rsidRPr="0078336C" w:rsidRDefault="0078336C" w:rsidP="0015660D">
            <w:pPr>
              <w:rPr>
                <w:bCs/>
              </w:rPr>
            </w:pPr>
          </w:p>
        </w:tc>
        <w:tc>
          <w:tcPr>
            <w:tcW w:w="1956" w:type="dxa"/>
          </w:tcPr>
          <w:p w:rsidR="0078336C" w:rsidRPr="0078336C" w:rsidRDefault="0078336C" w:rsidP="0015660D">
            <w:pPr>
              <w:rPr>
                <w:bCs/>
              </w:rPr>
            </w:pPr>
            <w:r w:rsidRPr="0078336C">
              <w:rPr>
                <w:bCs/>
              </w:rPr>
              <w:t>3.2. Mokymosi lūkesčiai ir mokinių skatinimas</w:t>
            </w:r>
          </w:p>
          <w:p w:rsidR="0078336C" w:rsidRPr="0078336C" w:rsidRDefault="0078336C" w:rsidP="0015660D">
            <w:pPr>
              <w:rPr>
                <w:bCs/>
              </w:rPr>
            </w:pPr>
          </w:p>
        </w:tc>
        <w:tc>
          <w:tcPr>
            <w:tcW w:w="1267" w:type="dxa"/>
          </w:tcPr>
          <w:p w:rsidR="0078336C" w:rsidRPr="0078336C" w:rsidRDefault="001B36AB" w:rsidP="0015660D">
            <w:pPr>
              <w:rPr>
                <w:bCs/>
              </w:rPr>
            </w:pPr>
            <w:r>
              <w:rPr>
                <w:bCs/>
              </w:rPr>
              <w:lastRenderedPageBreak/>
              <w:t>2</w:t>
            </w:r>
          </w:p>
        </w:tc>
        <w:tc>
          <w:tcPr>
            <w:tcW w:w="1094" w:type="dxa"/>
          </w:tcPr>
          <w:p w:rsidR="0078336C" w:rsidRPr="0078336C" w:rsidRDefault="001B36AB" w:rsidP="0015660D">
            <w:pPr>
              <w:rPr>
                <w:bCs/>
              </w:rPr>
            </w:pPr>
            <w:r>
              <w:rPr>
                <w:bCs/>
              </w:rPr>
              <w:t>3</w:t>
            </w:r>
          </w:p>
        </w:tc>
        <w:tc>
          <w:tcPr>
            <w:tcW w:w="2074" w:type="dxa"/>
          </w:tcPr>
          <w:p w:rsidR="0078336C" w:rsidRPr="0078336C" w:rsidRDefault="001B36AB" w:rsidP="0015660D">
            <w:pPr>
              <w:rPr>
                <w:bCs/>
              </w:rPr>
            </w:pPr>
            <w:r>
              <w:rPr>
                <w:bCs/>
              </w:rPr>
              <w:t>Pagerėjo</w:t>
            </w:r>
          </w:p>
        </w:tc>
        <w:tc>
          <w:tcPr>
            <w:tcW w:w="6320" w:type="dxa"/>
          </w:tcPr>
          <w:p w:rsidR="0078336C" w:rsidRDefault="00F27DEB" w:rsidP="00F27DEB">
            <w:pPr>
              <w:rPr>
                <w:bCs/>
              </w:rPr>
            </w:pPr>
            <w:r>
              <w:rPr>
                <w:bCs/>
              </w:rPr>
              <w:t xml:space="preserve"> Mokykloje formuojama aiški nuostata, kad kiekvienas vaikas gali ir turi patirti sėkmę. Įvedus nuoseklia individualios mokinio pažangos stebėjimo ir fiksavimo sistemą mokiniai skatinami ne tik sekti ir stebėti savo pažangą </w:t>
            </w:r>
            <w:r>
              <w:rPr>
                <w:bCs/>
              </w:rPr>
              <w:lastRenderedPageBreak/>
              <w:t>bet ir remiantis objektyviais duomenimis kelti sau ateities tikslus, gerinti mokymosi rezultatus.</w:t>
            </w:r>
          </w:p>
          <w:p w:rsidR="00F27DEB" w:rsidRDefault="00F27DEB" w:rsidP="00F27DEB">
            <w:pPr>
              <w:rPr>
                <w:bCs/>
              </w:rPr>
            </w:pPr>
            <w:r>
              <w:rPr>
                <w:bCs/>
              </w:rPr>
              <w:t xml:space="preserve">  Tačiau pastebimas mokinių savivaldos abejingumas, mokiniai kol kas nenoriai įsitraukia į mokyklos veiklas, neprisiima atsakomybės už renginių organizavimą ar pokyčių įgyvendinimą mokykloje.</w:t>
            </w:r>
          </w:p>
          <w:p w:rsidR="00F74B29" w:rsidRPr="0078336C" w:rsidRDefault="00F74B29" w:rsidP="00F27DEB">
            <w:pPr>
              <w:rPr>
                <w:bCs/>
              </w:rPr>
            </w:pPr>
            <w:r>
              <w:rPr>
                <w:bCs/>
              </w:rPr>
              <w:t xml:space="preserve">Mokslo metų pabaigoje visi </w:t>
            </w:r>
            <w:proofErr w:type="spellStart"/>
            <w:r>
              <w:rPr>
                <w:bCs/>
              </w:rPr>
              <w:t>Liepijų</w:t>
            </w:r>
            <w:proofErr w:type="spellEnd"/>
            <w:r>
              <w:rPr>
                <w:bCs/>
              </w:rPr>
              <w:t xml:space="preserve"> mokyklos mokiniai išgyveno savo sėkmės minutę, gavo mokyklos direktorės padėkas už jų asmenines sėkmes ir nuopelnus.</w:t>
            </w:r>
            <w:r w:rsidR="00B94439">
              <w:rPr>
                <w:bCs/>
              </w:rPr>
              <w:t xml:space="preserve"> Daliai mokiniu tai buvo pirmoji padėka jų gyvenime.</w:t>
            </w:r>
          </w:p>
        </w:tc>
      </w:tr>
      <w:tr w:rsidR="0078336C" w:rsidRPr="0078336C" w:rsidTr="0015660D">
        <w:tc>
          <w:tcPr>
            <w:tcW w:w="1508" w:type="dxa"/>
            <w:vMerge/>
          </w:tcPr>
          <w:p w:rsidR="0078336C" w:rsidRPr="0078336C" w:rsidRDefault="0078336C" w:rsidP="0015660D">
            <w:pPr>
              <w:rPr>
                <w:bCs/>
              </w:rPr>
            </w:pPr>
          </w:p>
        </w:tc>
        <w:tc>
          <w:tcPr>
            <w:tcW w:w="1956" w:type="dxa"/>
          </w:tcPr>
          <w:p w:rsidR="0078336C" w:rsidRPr="0078336C" w:rsidRDefault="0078336C" w:rsidP="0015660D">
            <w:pPr>
              <w:rPr>
                <w:bCs/>
              </w:rPr>
            </w:pPr>
            <w:r w:rsidRPr="0078336C">
              <w:rPr>
                <w:bCs/>
              </w:rPr>
              <w:t xml:space="preserve">3.3. </w:t>
            </w:r>
            <w:proofErr w:type="spellStart"/>
            <w:r w:rsidRPr="0078336C">
              <w:rPr>
                <w:bCs/>
              </w:rPr>
              <w:t>Ugdymo(si</w:t>
            </w:r>
            <w:proofErr w:type="spellEnd"/>
            <w:r w:rsidRPr="0078336C">
              <w:rPr>
                <w:bCs/>
              </w:rPr>
              <w:t>) organizavimas</w:t>
            </w:r>
          </w:p>
          <w:p w:rsidR="0078336C" w:rsidRPr="0078336C" w:rsidRDefault="0078336C" w:rsidP="0015660D">
            <w:pPr>
              <w:rPr>
                <w:bCs/>
              </w:rPr>
            </w:pPr>
          </w:p>
        </w:tc>
        <w:tc>
          <w:tcPr>
            <w:tcW w:w="1267" w:type="dxa"/>
          </w:tcPr>
          <w:p w:rsidR="0078336C" w:rsidRPr="0078336C" w:rsidRDefault="001B36AB" w:rsidP="0015660D">
            <w:pPr>
              <w:rPr>
                <w:bCs/>
              </w:rPr>
            </w:pPr>
            <w:r>
              <w:rPr>
                <w:bCs/>
              </w:rPr>
              <w:t>2</w:t>
            </w:r>
          </w:p>
        </w:tc>
        <w:tc>
          <w:tcPr>
            <w:tcW w:w="1094" w:type="dxa"/>
          </w:tcPr>
          <w:p w:rsidR="0078336C" w:rsidRPr="0078336C" w:rsidRDefault="001B36AB" w:rsidP="0015660D">
            <w:pPr>
              <w:rPr>
                <w:bCs/>
              </w:rPr>
            </w:pPr>
            <w:r>
              <w:rPr>
                <w:bCs/>
              </w:rPr>
              <w:t>3</w:t>
            </w:r>
          </w:p>
        </w:tc>
        <w:tc>
          <w:tcPr>
            <w:tcW w:w="2074" w:type="dxa"/>
          </w:tcPr>
          <w:p w:rsidR="0078336C" w:rsidRPr="0078336C" w:rsidRDefault="001B36AB" w:rsidP="0015660D">
            <w:pPr>
              <w:rPr>
                <w:bCs/>
              </w:rPr>
            </w:pPr>
            <w:r>
              <w:rPr>
                <w:bCs/>
              </w:rPr>
              <w:t>Pagerėjo</w:t>
            </w:r>
          </w:p>
        </w:tc>
        <w:tc>
          <w:tcPr>
            <w:tcW w:w="6320" w:type="dxa"/>
          </w:tcPr>
          <w:p w:rsidR="0078336C" w:rsidRDefault="00B94439" w:rsidP="0015660D">
            <w:pPr>
              <w:rPr>
                <w:bCs/>
              </w:rPr>
            </w:pPr>
            <w:r>
              <w:rPr>
                <w:bCs/>
              </w:rPr>
              <w:t xml:space="preserve"> Organizuojant ugdymą šiais mokslo metais ieškota naujų, netradicinių ugdymo organizavimo formų suorganizuotų projektinių ir tiriamųjų veiklų skaičius išaugo 10 </w:t>
            </w:r>
            <w:proofErr w:type="spellStart"/>
            <w:r>
              <w:rPr>
                <w:bCs/>
              </w:rPr>
              <w:t>proc</w:t>
            </w:r>
            <w:proofErr w:type="spellEnd"/>
            <w:r>
              <w:rPr>
                <w:bCs/>
              </w:rPr>
              <w:t>. Šiais mokslo metasi startavo naujas skaitymo kompetencijų gerinimo projektas  ,,Gerasis skaitymo virusas“ ,  kuriame dalyvavo visi 1 – 4 klasių mokiniai.</w:t>
            </w:r>
          </w:p>
          <w:p w:rsidR="00B94439" w:rsidRDefault="00B94439" w:rsidP="0015660D">
            <w:pPr>
              <w:rPr>
                <w:bCs/>
              </w:rPr>
            </w:pPr>
            <w:r>
              <w:rPr>
                <w:bCs/>
              </w:rPr>
              <w:t xml:space="preserve">   Susitarus dėl geros pamokos kriterijų susitelkta į aktyviuosius mokymosi metodus, taip toliau kauptas užduočių bankas, ku</w:t>
            </w:r>
            <w:r w:rsidR="00B56A7D">
              <w:rPr>
                <w:bCs/>
              </w:rPr>
              <w:t>riame užduočių skaičius išaugo 3</w:t>
            </w:r>
            <w:r>
              <w:rPr>
                <w:bCs/>
              </w:rPr>
              <w:t xml:space="preserve">0 </w:t>
            </w:r>
            <w:proofErr w:type="spellStart"/>
            <w:r>
              <w:rPr>
                <w:bCs/>
              </w:rPr>
              <w:t>proc</w:t>
            </w:r>
            <w:proofErr w:type="spellEnd"/>
            <w:r>
              <w:rPr>
                <w:bCs/>
              </w:rPr>
              <w:t xml:space="preserve">. </w:t>
            </w:r>
          </w:p>
          <w:p w:rsidR="00B94439" w:rsidRPr="0078336C" w:rsidRDefault="00B94439" w:rsidP="0015660D">
            <w:pPr>
              <w:rPr>
                <w:bCs/>
              </w:rPr>
            </w:pPr>
            <w:r>
              <w:rPr>
                <w:bCs/>
              </w:rPr>
              <w:t xml:space="preserve">  Aktyviai derintos formalaus ir neformalaus švietimo veiklos, siekiant ugdymo proceso tobulinimo pasirašytos bendradarbiavimo sutartys su Žemaitijos nacionaliniu parkų, Žemaitės memorialiniu muziejumi, Specialiojo ugdymo centru, VŠĮ ,,Kalbų ir kultūrų lizdelis“, bendradarbiaujant su šiomis organizacijomis suorganizuota 10 ugdomųjų veiklų.</w:t>
            </w:r>
          </w:p>
        </w:tc>
      </w:tr>
      <w:tr w:rsidR="0078336C" w:rsidRPr="0078336C" w:rsidTr="0015660D">
        <w:tc>
          <w:tcPr>
            <w:tcW w:w="1508" w:type="dxa"/>
            <w:vMerge/>
          </w:tcPr>
          <w:p w:rsidR="0078336C" w:rsidRPr="0078336C" w:rsidRDefault="0078336C" w:rsidP="0015660D">
            <w:pPr>
              <w:rPr>
                <w:bCs/>
              </w:rPr>
            </w:pPr>
          </w:p>
        </w:tc>
        <w:tc>
          <w:tcPr>
            <w:tcW w:w="1956" w:type="dxa"/>
          </w:tcPr>
          <w:p w:rsidR="0078336C" w:rsidRPr="0078336C" w:rsidRDefault="0078336C" w:rsidP="0015660D">
            <w:r w:rsidRPr="0078336C">
              <w:t>3.4. Mokymasis</w:t>
            </w:r>
          </w:p>
          <w:p w:rsidR="0078336C" w:rsidRPr="0078336C" w:rsidRDefault="0078336C" w:rsidP="0015660D"/>
        </w:tc>
        <w:tc>
          <w:tcPr>
            <w:tcW w:w="1267" w:type="dxa"/>
          </w:tcPr>
          <w:p w:rsidR="0078336C" w:rsidRPr="0078336C" w:rsidRDefault="001B36AB" w:rsidP="0015660D">
            <w:pPr>
              <w:rPr>
                <w:bCs/>
              </w:rPr>
            </w:pPr>
            <w:r>
              <w:rPr>
                <w:bCs/>
              </w:rPr>
              <w:t>2</w:t>
            </w:r>
          </w:p>
        </w:tc>
        <w:tc>
          <w:tcPr>
            <w:tcW w:w="1094" w:type="dxa"/>
          </w:tcPr>
          <w:p w:rsidR="0078336C" w:rsidRPr="0078336C" w:rsidRDefault="001B36AB" w:rsidP="0015660D">
            <w:pPr>
              <w:rPr>
                <w:bCs/>
              </w:rPr>
            </w:pPr>
            <w:r>
              <w:rPr>
                <w:bCs/>
              </w:rPr>
              <w:t>2</w:t>
            </w:r>
          </w:p>
        </w:tc>
        <w:tc>
          <w:tcPr>
            <w:tcW w:w="2074" w:type="dxa"/>
          </w:tcPr>
          <w:p w:rsidR="0078336C" w:rsidRPr="0078336C" w:rsidRDefault="001B36AB" w:rsidP="0015660D">
            <w:pPr>
              <w:rPr>
                <w:bCs/>
              </w:rPr>
            </w:pPr>
            <w:r>
              <w:rPr>
                <w:bCs/>
              </w:rPr>
              <w:t>Pagerėjo</w:t>
            </w:r>
          </w:p>
        </w:tc>
        <w:tc>
          <w:tcPr>
            <w:tcW w:w="6320" w:type="dxa"/>
          </w:tcPr>
          <w:p w:rsidR="0078336C" w:rsidRPr="0078336C" w:rsidRDefault="00E9784B" w:rsidP="0015660D">
            <w:pPr>
              <w:rPr>
                <w:bCs/>
              </w:rPr>
            </w:pPr>
            <w:r>
              <w:rPr>
                <w:bCs/>
              </w:rPr>
              <w:t xml:space="preserve"> Šiais mokslo metais taikant naują individualios pažangos stebėjimo </w:t>
            </w:r>
            <w:r w:rsidR="00150FC9">
              <w:rPr>
                <w:bCs/>
              </w:rPr>
              <w:t>ir fiksavimo sistemą mokiniai skatinami nuosekliai ir nenutrūkstamai stebėti ir sekti savo mokymosi pažangą</w:t>
            </w:r>
            <w:r w:rsidR="00A244FD">
              <w:rPr>
                <w:bCs/>
              </w:rPr>
              <w:t>, bei atsižvelgiant į rezultatus kelti sau mokymosi tikslus ir uždavinius. Šios sistemos esmė užtikrina, kad mokiniai žino kurios mokymosi disciplinos jiems sekasi</w:t>
            </w:r>
            <w:r w:rsidR="000279B2">
              <w:rPr>
                <w:bCs/>
              </w:rPr>
              <w:t xml:space="preserve"> (kur yra daroma pažanga) </w:t>
            </w:r>
            <w:r w:rsidR="00A244FD">
              <w:rPr>
                <w:bCs/>
              </w:rPr>
              <w:t xml:space="preserve"> ir kuriose reikia pasistengti, pasitempti.  Tačiau vis dar stinga mokymosi rezultatų reflektavimo pokyčio, nes kol kas nesusiformavo rezultatų analizės ir apmastymo kultūra, tai gali būti priežastimi vėluojančios sėkmės mokinių mokymosi pasiekimų gerėjime.</w:t>
            </w:r>
          </w:p>
        </w:tc>
      </w:tr>
      <w:tr w:rsidR="0078336C" w:rsidRPr="0078336C" w:rsidTr="0015660D">
        <w:tc>
          <w:tcPr>
            <w:tcW w:w="1508" w:type="dxa"/>
            <w:vMerge/>
          </w:tcPr>
          <w:p w:rsidR="0078336C" w:rsidRPr="0078336C" w:rsidRDefault="0078336C" w:rsidP="0015660D">
            <w:pPr>
              <w:rPr>
                <w:bCs/>
              </w:rPr>
            </w:pPr>
          </w:p>
        </w:tc>
        <w:tc>
          <w:tcPr>
            <w:tcW w:w="1956" w:type="dxa"/>
          </w:tcPr>
          <w:p w:rsidR="0078336C" w:rsidRPr="0078336C" w:rsidRDefault="0078336C" w:rsidP="0015660D">
            <w:pPr>
              <w:rPr>
                <w:bCs/>
              </w:rPr>
            </w:pPr>
            <w:r w:rsidRPr="0078336C">
              <w:rPr>
                <w:bCs/>
              </w:rPr>
              <w:t>3.5. (</w:t>
            </w:r>
            <w:proofErr w:type="spellStart"/>
            <w:r w:rsidRPr="0078336C">
              <w:rPr>
                <w:bCs/>
              </w:rPr>
              <w:t>Įsi)vertinimas</w:t>
            </w:r>
            <w:proofErr w:type="spellEnd"/>
            <w:r w:rsidRPr="0078336C">
              <w:rPr>
                <w:bCs/>
              </w:rPr>
              <w:t xml:space="preserve"> ugdymui</w:t>
            </w:r>
          </w:p>
          <w:p w:rsidR="0078336C" w:rsidRPr="0078336C" w:rsidRDefault="0078336C" w:rsidP="0015660D">
            <w:pPr>
              <w:rPr>
                <w:bCs/>
              </w:rPr>
            </w:pPr>
          </w:p>
        </w:tc>
        <w:tc>
          <w:tcPr>
            <w:tcW w:w="1267" w:type="dxa"/>
          </w:tcPr>
          <w:p w:rsidR="0078336C" w:rsidRPr="0078336C" w:rsidRDefault="001B36AB" w:rsidP="0015660D">
            <w:pPr>
              <w:rPr>
                <w:bCs/>
              </w:rPr>
            </w:pPr>
            <w:r>
              <w:rPr>
                <w:bCs/>
              </w:rPr>
              <w:t>2</w:t>
            </w:r>
          </w:p>
        </w:tc>
        <w:tc>
          <w:tcPr>
            <w:tcW w:w="1094" w:type="dxa"/>
          </w:tcPr>
          <w:p w:rsidR="0078336C" w:rsidRPr="0078336C" w:rsidRDefault="001B36AB" w:rsidP="0015660D">
            <w:pPr>
              <w:rPr>
                <w:bCs/>
              </w:rPr>
            </w:pPr>
            <w:r>
              <w:rPr>
                <w:bCs/>
              </w:rPr>
              <w:t>2</w:t>
            </w:r>
          </w:p>
        </w:tc>
        <w:tc>
          <w:tcPr>
            <w:tcW w:w="2074" w:type="dxa"/>
          </w:tcPr>
          <w:p w:rsidR="0078336C" w:rsidRPr="0078336C" w:rsidRDefault="008773B3" w:rsidP="0015660D">
            <w:pPr>
              <w:rPr>
                <w:bCs/>
              </w:rPr>
            </w:pPr>
            <w:r>
              <w:rPr>
                <w:bCs/>
              </w:rPr>
              <w:t>Liko tokie patys</w:t>
            </w:r>
          </w:p>
        </w:tc>
        <w:tc>
          <w:tcPr>
            <w:tcW w:w="6320" w:type="dxa"/>
          </w:tcPr>
          <w:p w:rsidR="0078336C" w:rsidRDefault="00A244FD" w:rsidP="0015660D">
            <w:pPr>
              <w:rPr>
                <w:bCs/>
              </w:rPr>
            </w:pPr>
            <w:r>
              <w:rPr>
                <w:bCs/>
              </w:rPr>
              <w:t xml:space="preserve">  </w:t>
            </w:r>
            <w:r w:rsidR="008773B3">
              <w:rPr>
                <w:bCs/>
              </w:rPr>
              <w:t xml:space="preserve">Mokykloje susitarus dėl geros pamokos kriterijų aiškiai apibrėžta </w:t>
            </w:r>
            <w:proofErr w:type="spellStart"/>
            <w:r w:rsidR="008773B3">
              <w:rPr>
                <w:bCs/>
              </w:rPr>
              <w:t>kriterinio</w:t>
            </w:r>
            <w:proofErr w:type="spellEnd"/>
            <w:r w:rsidR="008773B3">
              <w:rPr>
                <w:bCs/>
              </w:rPr>
              <w:t xml:space="preserve"> vertinimo svarba pamokoje, tačiau vykdant pamokų </w:t>
            </w:r>
            <w:proofErr w:type="spellStart"/>
            <w:r w:rsidR="008773B3">
              <w:rPr>
                <w:bCs/>
              </w:rPr>
              <w:t>stebėseną</w:t>
            </w:r>
            <w:proofErr w:type="spellEnd"/>
            <w:r w:rsidR="008773B3">
              <w:rPr>
                <w:bCs/>
              </w:rPr>
              <w:t xml:space="preserve"> fiksuojama, kad būtent vertinimo aiškumas yra silpnoji </w:t>
            </w:r>
            <w:proofErr w:type="spellStart"/>
            <w:r w:rsidR="008773B3">
              <w:rPr>
                <w:bCs/>
              </w:rPr>
              <w:t>Liepijų</w:t>
            </w:r>
            <w:proofErr w:type="spellEnd"/>
            <w:r w:rsidR="008773B3">
              <w:rPr>
                <w:bCs/>
              </w:rPr>
              <w:t xml:space="preserve"> mokyklos pamokų dalis.</w:t>
            </w:r>
          </w:p>
          <w:p w:rsidR="008773B3" w:rsidRDefault="008773B3" w:rsidP="0015660D">
            <w:pPr>
              <w:rPr>
                <w:bCs/>
              </w:rPr>
            </w:pPr>
            <w:r>
              <w:rPr>
                <w:bCs/>
              </w:rPr>
              <w:t xml:space="preserve">   Analizuojant 2022 </w:t>
            </w:r>
            <w:proofErr w:type="spellStart"/>
            <w:r>
              <w:rPr>
                <w:bCs/>
              </w:rPr>
              <w:t>m</w:t>
            </w:r>
            <w:proofErr w:type="spellEnd"/>
            <w:r>
              <w:rPr>
                <w:bCs/>
              </w:rPr>
              <w:t>. mokinių NMPP ir PUPP rezultatus pa</w:t>
            </w:r>
            <w:r w:rsidR="0080073F">
              <w:rPr>
                <w:bCs/>
              </w:rPr>
              <w:t>s</w:t>
            </w:r>
            <w:r>
              <w:rPr>
                <w:bCs/>
              </w:rPr>
              <w:t xml:space="preserve">tebėtas gan didelis (3 – 4 balų) skirstymas tarp patikrinimo rezultatų ir mokinio metinių įvertinimų, </w:t>
            </w:r>
            <w:r w:rsidR="0080073F">
              <w:rPr>
                <w:bCs/>
              </w:rPr>
              <w:t>tokie duomenys kelia abejonių mokykloje taikoma vertinimo sistema, kriterijų aiškumu ir tikslumu. Taip pat toks pasiekimų vertinimų skirtumas galimai klaidina mokinius ir tėvus.</w:t>
            </w:r>
          </w:p>
          <w:p w:rsidR="0080073F" w:rsidRPr="0078336C" w:rsidRDefault="0080073F" w:rsidP="0080073F">
            <w:pPr>
              <w:rPr>
                <w:bCs/>
              </w:rPr>
            </w:pPr>
            <w:r>
              <w:rPr>
                <w:bCs/>
              </w:rPr>
              <w:t xml:space="preserve">  Būtent </w:t>
            </w:r>
            <w:proofErr w:type="spellStart"/>
            <w:r>
              <w:rPr>
                <w:bCs/>
              </w:rPr>
              <w:t>kriterinio</w:t>
            </w:r>
            <w:proofErr w:type="spellEnd"/>
            <w:r>
              <w:rPr>
                <w:bCs/>
              </w:rPr>
              <w:t xml:space="preserve"> vertinimo</w:t>
            </w:r>
            <w:r w:rsidR="000279B2">
              <w:rPr>
                <w:bCs/>
              </w:rPr>
              <w:t xml:space="preserve"> kultūros trūkumas ugdymo proces</w:t>
            </w:r>
            <w:r>
              <w:rPr>
                <w:bCs/>
              </w:rPr>
              <w:t xml:space="preserve">e trukdo </w:t>
            </w:r>
            <w:r>
              <w:rPr>
                <w:bCs/>
              </w:rPr>
              <w:lastRenderedPageBreak/>
              <w:t xml:space="preserve">mokiniams objektyviai ir tiksliai save vertinti ir įsivertinti. </w:t>
            </w:r>
          </w:p>
        </w:tc>
      </w:tr>
    </w:tbl>
    <w:p w:rsidR="00BA5EDC" w:rsidRDefault="00BA5EDC" w:rsidP="0015660D">
      <w:pPr>
        <w:jc w:val="center"/>
      </w:pPr>
    </w:p>
    <w:sectPr w:rsidR="00BA5EDC" w:rsidSect="0078336C">
      <w:headerReference w:type="default" r:id="rId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DD" w:rsidRDefault="00BD79DD" w:rsidP="00201B11">
      <w:pPr>
        <w:spacing w:after="0" w:line="240" w:lineRule="auto"/>
      </w:pPr>
      <w:r>
        <w:separator/>
      </w:r>
    </w:p>
  </w:endnote>
  <w:endnote w:type="continuationSeparator" w:id="0">
    <w:p w:rsidR="00BD79DD" w:rsidRDefault="00BD79DD" w:rsidP="0020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DD" w:rsidRDefault="00BD79DD" w:rsidP="00201B11">
      <w:pPr>
        <w:spacing w:after="0" w:line="240" w:lineRule="auto"/>
      </w:pPr>
      <w:r>
        <w:separator/>
      </w:r>
    </w:p>
  </w:footnote>
  <w:footnote w:type="continuationSeparator" w:id="0">
    <w:p w:rsidR="00BD79DD" w:rsidRDefault="00BD79DD" w:rsidP="00201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11" w:rsidRDefault="00201B11" w:rsidP="00201B11">
    <w:pPr>
      <w:jc w:val="center"/>
    </w:pPr>
    <w:r w:rsidRPr="0015660D">
      <w:t xml:space="preserve">PLUNGĖS R. </w:t>
    </w:r>
    <w:r>
      <w:t>LIEPIJŲ</w:t>
    </w:r>
    <w:r w:rsidRPr="0015660D">
      <w:t xml:space="preserve"> MOKYKLOS VEIKLOS KOKYBĖS ĮSIVERTINIMO ATASKAITA</w:t>
    </w:r>
  </w:p>
  <w:p w:rsidR="00201B11" w:rsidRDefault="00D32418" w:rsidP="0017456F">
    <w:pPr>
      <w:jc w:val="center"/>
    </w:pPr>
    <w:r>
      <w:t xml:space="preserve">2021-2022 </w:t>
    </w:r>
    <w:proofErr w:type="spellStart"/>
    <w:r>
      <w:t>m</w:t>
    </w:r>
    <w:proofErr w:type="spellEnd"/>
    <w:r>
      <w:t>.</w:t>
    </w:r>
    <w:r w:rsidR="0017456F">
      <w:t xml:space="preserve"> </w:t>
    </w:r>
    <w:proofErr w:type="spellStart"/>
    <w:r>
      <w:t>m</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C"/>
    <w:rsid w:val="000279B2"/>
    <w:rsid w:val="00053520"/>
    <w:rsid w:val="00150FC9"/>
    <w:rsid w:val="0015660D"/>
    <w:rsid w:val="0017456F"/>
    <w:rsid w:val="001B36AB"/>
    <w:rsid w:val="00201B11"/>
    <w:rsid w:val="002C3A8B"/>
    <w:rsid w:val="002C5233"/>
    <w:rsid w:val="0078336C"/>
    <w:rsid w:val="0080073F"/>
    <w:rsid w:val="008368B7"/>
    <w:rsid w:val="00844DE6"/>
    <w:rsid w:val="008773B3"/>
    <w:rsid w:val="00901BCD"/>
    <w:rsid w:val="00931480"/>
    <w:rsid w:val="00A244FD"/>
    <w:rsid w:val="00A67A1D"/>
    <w:rsid w:val="00A67F4E"/>
    <w:rsid w:val="00B34108"/>
    <w:rsid w:val="00B56A7D"/>
    <w:rsid w:val="00B94439"/>
    <w:rsid w:val="00BA5EDC"/>
    <w:rsid w:val="00BD79DD"/>
    <w:rsid w:val="00BF2E58"/>
    <w:rsid w:val="00BF758B"/>
    <w:rsid w:val="00D32418"/>
    <w:rsid w:val="00D52F61"/>
    <w:rsid w:val="00DA47CD"/>
    <w:rsid w:val="00E9784B"/>
    <w:rsid w:val="00F27DEB"/>
    <w:rsid w:val="00F74B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78336C"/>
    <w:pPr>
      <w:spacing w:after="0" w:line="240" w:lineRule="auto"/>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201B1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1B11"/>
  </w:style>
  <w:style w:type="paragraph" w:styleId="Porat">
    <w:name w:val="footer"/>
    <w:basedOn w:val="prastasis"/>
    <w:link w:val="PoratDiagrama"/>
    <w:uiPriority w:val="99"/>
    <w:unhideWhenUsed/>
    <w:rsid w:val="00201B1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1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78336C"/>
    <w:pPr>
      <w:spacing w:after="0" w:line="240" w:lineRule="auto"/>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201B1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1B11"/>
  </w:style>
  <w:style w:type="paragraph" w:styleId="Porat">
    <w:name w:val="footer"/>
    <w:basedOn w:val="prastasis"/>
    <w:link w:val="PoratDiagrama"/>
    <w:uiPriority w:val="99"/>
    <w:unhideWhenUsed/>
    <w:rsid w:val="00201B1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2CD2-B942-4CD7-BE90-32ED494D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7297</Words>
  <Characters>4160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Direktorė</dc:creator>
  <cp:lastModifiedBy>Diana</cp:lastModifiedBy>
  <cp:revision>2</cp:revision>
  <cp:lastPrinted>2022-10-12T08:51:00Z</cp:lastPrinted>
  <dcterms:created xsi:type="dcterms:W3CDTF">2022-10-12T08:53:00Z</dcterms:created>
  <dcterms:modified xsi:type="dcterms:W3CDTF">2022-10-12T08:53:00Z</dcterms:modified>
</cp:coreProperties>
</file>